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8E" w:rsidRDefault="004E138E" w:rsidP="004E138E">
      <w:pPr>
        <w:spacing w:line="560" w:lineRule="exact"/>
        <w:jc w:val="left"/>
        <w:rPr>
          <w:rFonts w:ascii="Times New Roman" w:eastAsia="方正仿宋_GBK" w:hAnsi="Times New Roman"/>
          <w:color w:val="404040"/>
          <w:sz w:val="32"/>
          <w:szCs w:val="32"/>
        </w:rPr>
      </w:pPr>
      <w:r>
        <w:rPr>
          <w:rFonts w:ascii="Times New Roman" w:eastAsia="方正仿宋_GBK" w:hAnsi="Times New Roman"/>
          <w:color w:val="404040"/>
          <w:sz w:val="32"/>
          <w:szCs w:val="32"/>
        </w:rPr>
        <w:t>附件</w:t>
      </w:r>
      <w:r>
        <w:rPr>
          <w:rFonts w:ascii="Times New Roman" w:eastAsia="方正仿宋_GBK" w:hAnsi="Times New Roman"/>
          <w:color w:val="404040"/>
          <w:sz w:val="32"/>
          <w:szCs w:val="32"/>
        </w:rPr>
        <w:t>1</w:t>
      </w:r>
    </w:p>
    <w:p w:rsidR="004E138E" w:rsidRDefault="004E138E" w:rsidP="004E138E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/>
          <w:color w:val="404040"/>
          <w:kern w:val="0"/>
          <w:sz w:val="44"/>
          <w:szCs w:val="44"/>
        </w:rPr>
      </w:pPr>
    </w:p>
    <w:p w:rsidR="004E138E" w:rsidRDefault="004E138E" w:rsidP="004E138E">
      <w:pPr>
        <w:widowControl/>
        <w:shd w:val="clear" w:color="auto" w:fill="FFFFFF"/>
        <w:spacing w:line="700" w:lineRule="exact"/>
        <w:jc w:val="center"/>
        <w:rPr>
          <w:rFonts w:ascii="Times New Roman" w:eastAsia="方正小标宋_GBK" w:hAnsi="Times New Roman"/>
          <w:color w:val="40404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404040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/>
          <w:color w:val="404040"/>
          <w:kern w:val="0"/>
          <w:sz w:val="44"/>
          <w:szCs w:val="44"/>
        </w:rPr>
        <w:t>年度省高价值专利培育计划项目</w:t>
      </w:r>
    </w:p>
    <w:p w:rsidR="004E138E" w:rsidRDefault="004E138E" w:rsidP="004E138E">
      <w:pPr>
        <w:widowControl/>
        <w:shd w:val="clear" w:color="auto" w:fill="FFFFFF"/>
        <w:spacing w:line="700" w:lineRule="exact"/>
        <w:jc w:val="center"/>
        <w:rPr>
          <w:rFonts w:ascii="Times New Roman" w:eastAsia="方正小标宋_GBK" w:hAnsi="Times New Roman"/>
          <w:color w:val="404040"/>
          <w:sz w:val="44"/>
          <w:szCs w:val="44"/>
        </w:rPr>
      </w:pPr>
      <w:r>
        <w:rPr>
          <w:rFonts w:ascii="Times New Roman" w:eastAsia="方正小标宋_GBK" w:hAnsi="Times New Roman"/>
          <w:color w:val="404040"/>
          <w:kern w:val="0"/>
          <w:sz w:val="44"/>
          <w:szCs w:val="44"/>
        </w:rPr>
        <w:t>拟立项单位名单</w:t>
      </w:r>
    </w:p>
    <w:p w:rsidR="004E138E" w:rsidRDefault="004E138E" w:rsidP="004E138E">
      <w:pPr>
        <w:spacing w:line="560" w:lineRule="exact"/>
        <w:jc w:val="center"/>
        <w:rPr>
          <w:rFonts w:ascii="Times New Roman" w:eastAsia="方正楷体_GBK" w:hAnsi="Times New Roman"/>
          <w:color w:val="40404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803"/>
      </w:tblGrid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  <w:t>拟立项单位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东南大学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国电南瑞科技股份有限公司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中石化南京化工研究院有限公司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中国船舶科学研究中心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江苏理工学院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宝时得科技（中国）有限公司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江苏中利集团股份有限公司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南通大学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南通中远海运船务工程有限公司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江苏海洋大学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江苏牧羊控股有限公司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万新光学集团有限公司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江苏兴达钢帘线股份有限公司</w:t>
            </w:r>
          </w:p>
        </w:tc>
      </w:tr>
      <w:tr w:rsidR="004E138E" w:rsidTr="003E5A78">
        <w:trPr>
          <w:trHeight w:val="45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38E" w:rsidRDefault="004E138E" w:rsidP="003E5A78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江苏斯迪克新材料科技股份有限公司</w:t>
            </w:r>
          </w:p>
        </w:tc>
      </w:tr>
    </w:tbl>
    <w:p w:rsidR="004E138E" w:rsidRDefault="004E138E" w:rsidP="004E138E">
      <w:pPr>
        <w:jc w:val="center"/>
        <w:rPr>
          <w:rFonts w:ascii="Times New Roman" w:hAnsi="Times New Roman"/>
        </w:rPr>
      </w:pPr>
    </w:p>
    <w:p w:rsidR="003A2D67" w:rsidRDefault="003A2D67" w:rsidP="004E138E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38E"/>
    <w:rsid w:val="00366CCE"/>
    <w:rsid w:val="003A2D67"/>
    <w:rsid w:val="004001AA"/>
    <w:rsid w:val="004E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Win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2020-05-25T10:01:00Z</dcterms:created>
  <dcterms:modified xsi:type="dcterms:W3CDTF">2020-05-25T10:01:00Z</dcterms:modified>
</cp:coreProperties>
</file>